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1A93" w14:textId="10C28FE4" w:rsidR="009419A5" w:rsidRPr="00B56A8C" w:rsidRDefault="00AB44CC" w:rsidP="00111A19">
      <w:pPr>
        <w:tabs>
          <w:tab w:val="left" w:pos="4111"/>
          <w:tab w:val="right" w:pos="9922"/>
        </w:tabs>
        <w:spacing w:after="0" w:line="240" w:lineRule="auto"/>
        <w:ind w:right="566"/>
        <w:rPr>
          <w:rFonts w:cstheme="minorHAnsi"/>
          <w:b/>
          <w:color w:val="00797A"/>
          <w:sz w:val="28"/>
        </w:rPr>
      </w:pPr>
      <w:bookmarkStart w:id="0" w:name="_Hlk149556591"/>
      <w:bookmarkStart w:id="1" w:name="_GoBack"/>
      <w:r w:rsidRPr="00AB44CC">
        <w:rPr>
          <w:rFonts w:cstheme="minorHAnsi"/>
          <w:b/>
          <w:color w:val="00797A"/>
          <w:sz w:val="28"/>
        </w:rPr>
        <w:t xml:space="preserve">Od </w:t>
      </w:r>
      <w:r w:rsidR="008F60FC">
        <w:rPr>
          <w:rFonts w:cstheme="minorHAnsi"/>
          <w:b/>
          <w:color w:val="00797A"/>
          <w:sz w:val="28"/>
        </w:rPr>
        <w:t>22 kwietnia</w:t>
      </w:r>
      <w:r w:rsidR="008F60FC" w:rsidRPr="00AB44CC">
        <w:rPr>
          <w:rFonts w:cstheme="minorHAnsi"/>
          <w:b/>
          <w:color w:val="00797A"/>
          <w:sz w:val="28"/>
        </w:rPr>
        <w:t xml:space="preserve"> </w:t>
      </w:r>
      <w:r w:rsidRPr="00AB44CC">
        <w:rPr>
          <w:rFonts w:cstheme="minorHAnsi"/>
          <w:b/>
          <w:color w:val="00797A"/>
          <w:sz w:val="28"/>
        </w:rPr>
        <w:t xml:space="preserve">nowe zasady w programie „Czyste Powietrze”. </w:t>
      </w:r>
      <w:r w:rsidR="00111A19">
        <w:rPr>
          <w:rFonts w:cstheme="minorHAnsi"/>
          <w:b/>
          <w:color w:val="00797A"/>
          <w:sz w:val="28"/>
        </w:rPr>
        <w:br/>
      </w:r>
      <w:r w:rsidRPr="00AB44CC">
        <w:rPr>
          <w:rFonts w:cstheme="minorHAnsi"/>
          <w:b/>
          <w:color w:val="00797A"/>
          <w:sz w:val="28"/>
        </w:rPr>
        <w:t>W trosce o beneficjentów</w:t>
      </w:r>
      <w:bookmarkEnd w:id="1"/>
    </w:p>
    <w:bookmarkEnd w:id="0"/>
    <w:p w14:paraId="784C34BE" w14:textId="77777777" w:rsidR="009419A5" w:rsidRPr="00D61FA3" w:rsidRDefault="009419A5" w:rsidP="00676758">
      <w:pPr>
        <w:pStyle w:val="Tekstpodstawowy"/>
        <w:spacing w:before="2"/>
        <w:ind w:right="425"/>
        <w:rPr>
          <w:rFonts w:asciiTheme="minorHAnsi" w:hAnsiTheme="minorHAnsi" w:cstheme="minorHAnsi"/>
          <w:b/>
        </w:rPr>
      </w:pPr>
    </w:p>
    <w:p w14:paraId="1E9057D5" w14:textId="77777777" w:rsidR="009419A5" w:rsidRPr="00D61FA3" w:rsidRDefault="009419A5" w:rsidP="00676758">
      <w:pPr>
        <w:pStyle w:val="Tytu"/>
        <w:ind w:left="0" w:right="425"/>
        <w:rPr>
          <w:rFonts w:asciiTheme="minorHAnsi" w:hAnsiTheme="minorHAnsi" w:cstheme="minorHAnsi"/>
        </w:rPr>
      </w:pPr>
      <w:r w:rsidRPr="00D61FA3">
        <w:rPr>
          <w:rFonts w:asciiTheme="minorHAnsi" w:hAnsiTheme="minorHAnsi" w:cstheme="minorHAnsi"/>
        </w:rPr>
        <w:t>INFORMACJA</w:t>
      </w:r>
      <w:r w:rsidRPr="00D61FA3">
        <w:rPr>
          <w:rFonts w:asciiTheme="minorHAnsi" w:hAnsiTheme="minorHAnsi" w:cstheme="minorHAnsi"/>
          <w:spacing w:val="-12"/>
        </w:rPr>
        <w:t xml:space="preserve"> </w:t>
      </w:r>
      <w:r w:rsidRPr="00D61FA3">
        <w:rPr>
          <w:rFonts w:asciiTheme="minorHAnsi" w:hAnsiTheme="minorHAnsi" w:cstheme="minorHAnsi"/>
          <w:spacing w:val="-2"/>
        </w:rPr>
        <w:t>PRASOWA</w:t>
      </w:r>
    </w:p>
    <w:p w14:paraId="22865521" w14:textId="0AF4A445" w:rsidR="009419A5" w:rsidRPr="001E19FD" w:rsidRDefault="00913206" w:rsidP="00676758">
      <w:pPr>
        <w:spacing w:before="170"/>
        <w:ind w:right="425"/>
        <w:jc w:val="both"/>
        <w:rPr>
          <w:rFonts w:cstheme="minorHAnsi"/>
          <w:bCs/>
        </w:rPr>
      </w:pPr>
      <w:r w:rsidRPr="00FF1765">
        <w:rPr>
          <w:rFonts w:cstheme="minorHAnsi"/>
          <w:bCs/>
        </w:rPr>
        <w:t>Warszawa</w:t>
      </w:r>
      <w:r w:rsidR="009419A5" w:rsidRPr="00FF1765">
        <w:rPr>
          <w:rFonts w:cstheme="minorHAnsi"/>
          <w:bCs/>
        </w:rPr>
        <w:t>,</w:t>
      </w:r>
      <w:r w:rsidR="009419A5" w:rsidRPr="00FF1765">
        <w:rPr>
          <w:rFonts w:cstheme="minorHAnsi"/>
          <w:bCs/>
          <w:spacing w:val="-3"/>
        </w:rPr>
        <w:t xml:space="preserve"> </w:t>
      </w:r>
      <w:r w:rsidR="00AB44CC">
        <w:rPr>
          <w:rFonts w:cstheme="minorHAnsi"/>
          <w:bCs/>
        </w:rPr>
        <w:t>22 kwietnia 2024 r.</w:t>
      </w:r>
    </w:p>
    <w:p w14:paraId="52FE7FE7" w14:textId="1BC1D851" w:rsidR="00676758" w:rsidRDefault="00676758" w:rsidP="00676758">
      <w:pPr>
        <w:ind w:right="425"/>
        <w:jc w:val="both"/>
        <w:rPr>
          <w:b/>
          <w:bCs/>
        </w:rPr>
      </w:pPr>
      <w:bookmarkStart w:id="2" w:name="_Hlk164164581"/>
      <w:r w:rsidRPr="003946EF">
        <w:rPr>
          <w:b/>
          <w:bCs/>
        </w:rPr>
        <w:t>Obowiązkowa lista zielonych urządzeń i materiałów (ZUM), jedna szansa na najwyższe dofinansowanie</w:t>
      </w:r>
      <w:r>
        <w:rPr>
          <w:b/>
          <w:bCs/>
        </w:rPr>
        <w:t xml:space="preserve">, doprecyzowanie </w:t>
      </w:r>
      <w:r w:rsidRPr="003946EF">
        <w:rPr>
          <w:b/>
          <w:bCs/>
        </w:rPr>
        <w:t>prefinansowani</w:t>
      </w:r>
      <w:r>
        <w:rPr>
          <w:b/>
          <w:bCs/>
        </w:rPr>
        <w:t xml:space="preserve">a i </w:t>
      </w:r>
      <w:r w:rsidRPr="003946EF">
        <w:rPr>
          <w:b/>
          <w:bCs/>
        </w:rPr>
        <w:t>pełnomocni</w:t>
      </w:r>
      <w:r>
        <w:rPr>
          <w:b/>
          <w:bCs/>
        </w:rPr>
        <w:t>ctwa oraz wzmocnienie budżetu środkami europejskimi</w:t>
      </w:r>
      <w:r w:rsidRPr="003946EF">
        <w:rPr>
          <w:b/>
          <w:bCs/>
        </w:rPr>
        <w:t xml:space="preserve"> </w:t>
      </w:r>
      <w:bookmarkEnd w:id="2"/>
      <w:r w:rsidRPr="003946EF">
        <w:rPr>
          <w:b/>
          <w:bCs/>
        </w:rPr>
        <w:t xml:space="preserve">– to </w:t>
      </w:r>
      <w:r>
        <w:rPr>
          <w:b/>
          <w:bCs/>
        </w:rPr>
        <w:t>nowości, które od 22.04.2024 r.</w:t>
      </w:r>
      <w:r w:rsidRPr="003946EF">
        <w:rPr>
          <w:b/>
          <w:bCs/>
        </w:rPr>
        <w:t xml:space="preserve"> czeka</w:t>
      </w:r>
      <w:r>
        <w:rPr>
          <w:b/>
          <w:bCs/>
        </w:rPr>
        <w:t xml:space="preserve">ją </w:t>
      </w:r>
      <w:r w:rsidRPr="003946EF">
        <w:rPr>
          <w:b/>
          <w:bCs/>
        </w:rPr>
        <w:t xml:space="preserve">na </w:t>
      </w:r>
      <w:r w:rsidR="008F60FC">
        <w:rPr>
          <w:b/>
          <w:bCs/>
        </w:rPr>
        <w:t>osoby korzystające z</w:t>
      </w:r>
      <w:r w:rsidR="008F60FC" w:rsidRPr="003946EF">
        <w:rPr>
          <w:b/>
          <w:bCs/>
        </w:rPr>
        <w:t xml:space="preserve"> </w:t>
      </w:r>
      <w:r w:rsidRPr="003946EF">
        <w:rPr>
          <w:b/>
          <w:bCs/>
        </w:rPr>
        <w:t xml:space="preserve">programu „Czyste Powietrze”. </w:t>
      </w:r>
    </w:p>
    <w:p w14:paraId="087D9537" w14:textId="77777777" w:rsidR="00676758" w:rsidRDefault="00676758" w:rsidP="00676758">
      <w:pPr>
        <w:ind w:right="425"/>
        <w:jc w:val="both"/>
      </w:pPr>
      <w:r>
        <w:t xml:space="preserve">„Zmieniliśmy program „Czyste Powietrze”, kierując się troską o naszych beneficjentów. Aktualne zasady mają chronić wnioskodawców i ograniczać nieuczciwe praktyki związane m.in. ze sprzedażą nieefektywnych urządzeń, które bez termomodernizacji domu, zamiast obniżać, to podwyższają rachunki za ogrzewanie” – mówi </w:t>
      </w:r>
      <w:r w:rsidRPr="003D0118">
        <w:t>Dorota Zawadzka-Stępniak</w:t>
      </w:r>
      <w:r>
        <w:t>, prezes Narodowego Funduszu Ochrony Środowiska i Gospodarki Wodnej (NFOŚiGW)</w:t>
      </w:r>
      <w:r w:rsidRPr="003D0118">
        <w:t>.</w:t>
      </w:r>
    </w:p>
    <w:p w14:paraId="54D21FB8" w14:textId="60134D3A" w:rsidR="00676758" w:rsidRDefault="00676758" w:rsidP="00676758">
      <w:pPr>
        <w:ind w:right="425"/>
        <w:jc w:val="both"/>
      </w:pPr>
      <w:r>
        <w:t xml:space="preserve">Ale to nie koniec nowości w „Czystym Powietrzu”, bo program zyskał właśnie nowe finansowanie. </w:t>
      </w:r>
    </w:p>
    <w:p w14:paraId="1C17AD4A" w14:textId="76946D9E" w:rsidR="00676758" w:rsidRDefault="00676758" w:rsidP="00676758">
      <w:pPr>
        <w:ind w:right="425"/>
        <w:jc w:val="both"/>
      </w:pPr>
      <w:r>
        <w:t xml:space="preserve">„Mamy kolejne duże pieniądze dla Polaków </w:t>
      </w:r>
      <w:r w:rsidRPr="008047DE">
        <w:t>na wymianę kopciuchów i termomodernizację dom</w:t>
      </w:r>
      <w:r>
        <w:t xml:space="preserve">ów. To aż 6,4 miliarda złotych z </w:t>
      </w:r>
      <w:r w:rsidRPr="003D0118">
        <w:t>Fundusz</w:t>
      </w:r>
      <w:r>
        <w:t xml:space="preserve">y </w:t>
      </w:r>
      <w:r w:rsidRPr="003D0118">
        <w:t>Europejski</w:t>
      </w:r>
      <w:r>
        <w:t xml:space="preserve">ch </w:t>
      </w:r>
      <w:r w:rsidRPr="003D0118">
        <w:t>na Infrastrukturę, Klimat, Środowisko</w:t>
      </w:r>
      <w:r>
        <w:t xml:space="preserve"> (FEnIKS), które obok środków z Krajowego Planu Odbudowy (KPO), zapewniają nam ciągłość i stabilne finansowanie „Czystego Powietrza” w najbliższym czasie. To ogromy sukces, wypracowany wspólnie z Ministerstwem Klimatu i Środowiska” – dodaje prezes NFOŚiGW.</w:t>
      </w:r>
    </w:p>
    <w:p w14:paraId="535FA262" w14:textId="77777777" w:rsidR="00676758" w:rsidRPr="00F72CFB" w:rsidRDefault="00676758" w:rsidP="00676758">
      <w:pPr>
        <w:ind w:right="425"/>
        <w:jc w:val="both"/>
        <w:rPr>
          <w:b/>
          <w:bCs/>
        </w:rPr>
      </w:pPr>
      <w:r w:rsidRPr="00F72CFB">
        <w:rPr>
          <w:b/>
          <w:bCs/>
        </w:rPr>
        <w:t>Uszczelnienie listy ZUM</w:t>
      </w:r>
      <w:r>
        <w:rPr>
          <w:b/>
          <w:bCs/>
        </w:rPr>
        <w:t xml:space="preserve"> dotyczy wszystkich</w:t>
      </w:r>
    </w:p>
    <w:p w14:paraId="16E573C7" w14:textId="77777777" w:rsidR="00676758" w:rsidRPr="00575828" w:rsidRDefault="00676758" w:rsidP="00676758">
      <w:pPr>
        <w:ind w:right="425"/>
        <w:jc w:val="both"/>
      </w:pPr>
      <w:r w:rsidRPr="00575828">
        <w:t xml:space="preserve">Obecna wersja programu z dnia 22.04.2024 r. zobowiązuje wnioskodawców – od 14.06.2024 r. – do wyboru pomp ciepła oraz kotłów zgazowujących drewno i kotłów na pellet tylko z tych wpisanych na listę ZUM. To ma być gwarancja wyboru urządzeń o potwierdzonej jakości, czyli takich, które spełniają deklarowane w karcie produktu i etykiecie energetycznej parametry oraz rzeczywiście przełożą się na efektywniejsze (tańsze) ogrzewanie polskich domów. </w:t>
      </w:r>
    </w:p>
    <w:p w14:paraId="7B975B87" w14:textId="77777777" w:rsidR="00676758" w:rsidRPr="00575828" w:rsidRDefault="00676758" w:rsidP="00676758">
      <w:pPr>
        <w:ind w:right="425"/>
        <w:jc w:val="both"/>
      </w:pPr>
      <w:r w:rsidRPr="00575828">
        <w:t>Nowe zasady stwarzają trzy opcje dla wnioskodawców:</w:t>
      </w:r>
    </w:p>
    <w:p w14:paraId="789F39C2" w14:textId="77777777" w:rsidR="00676758" w:rsidRPr="00575828" w:rsidRDefault="00676758" w:rsidP="00676758">
      <w:pPr>
        <w:pStyle w:val="Akapitzlist"/>
        <w:numPr>
          <w:ilvl w:val="0"/>
          <w:numId w:val="3"/>
        </w:numPr>
        <w:spacing w:after="160" w:line="252" w:lineRule="auto"/>
        <w:ind w:right="425"/>
        <w:jc w:val="both"/>
      </w:pPr>
      <w:bookmarkStart w:id="3" w:name="_Hlk164244683"/>
      <w:r w:rsidRPr="00575828">
        <w:t xml:space="preserve">wniosek złożony </w:t>
      </w:r>
      <w:r w:rsidRPr="00676758">
        <w:rPr>
          <w:b/>
          <w:bCs/>
        </w:rPr>
        <w:t>do 21.04</w:t>
      </w:r>
      <w:r w:rsidRPr="00575828">
        <w:t xml:space="preserve"> – pozwala na dotację na urządzenia spoza listy ZUM</w:t>
      </w:r>
      <w:r>
        <w:t>;</w:t>
      </w:r>
    </w:p>
    <w:p w14:paraId="0F77C117" w14:textId="77777777" w:rsidR="00676758" w:rsidRPr="00575828" w:rsidRDefault="00676758" w:rsidP="00676758">
      <w:pPr>
        <w:pStyle w:val="Akapitzlist"/>
        <w:numPr>
          <w:ilvl w:val="0"/>
          <w:numId w:val="3"/>
        </w:numPr>
        <w:spacing w:after="160" w:line="252" w:lineRule="auto"/>
        <w:ind w:right="425"/>
        <w:jc w:val="both"/>
      </w:pPr>
      <w:r w:rsidRPr="00575828">
        <w:t xml:space="preserve">wniosek złożony </w:t>
      </w:r>
      <w:r w:rsidRPr="00676758">
        <w:rPr>
          <w:b/>
          <w:bCs/>
        </w:rPr>
        <w:t>od 22.04</w:t>
      </w:r>
      <w:r w:rsidRPr="00575828">
        <w:t xml:space="preserve"> i dowód zakupu urządzenia </w:t>
      </w:r>
      <w:r w:rsidRPr="00676758">
        <w:rPr>
          <w:b/>
          <w:bCs/>
        </w:rPr>
        <w:t>do 13.06</w:t>
      </w:r>
      <w:r w:rsidRPr="00575828">
        <w:t xml:space="preserve"> – pozwala na dotację na urządzenia spoza listy ZUM</w:t>
      </w:r>
      <w:r>
        <w:t>;</w:t>
      </w:r>
    </w:p>
    <w:p w14:paraId="00373B58" w14:textId="77777777" w:rsidR="00676758" w:rsidRDefault="00676758" w:rsidP="00676758">
      <w:pPr>
        <w:pStyle w:val="Akapitzlist"/>
        <w:numPr>
          <w:ilvl w:val="0"/>
          <w:numId w:val="3"/>
        </w:numPr>
        <w:spacing w:after="160" w:line="252" w:lineRule="auto"/>
        <w:ind w:right="425"/>
        <w:jc w:val="both"/>
      </w:pPr>
      <w:r w:rsidRPr="00575828">
        <w:t xml:space="preserve">wniosek złożony </w:t>
      </w:r>
      <w:r w:rsidRPr="00676758">
        <w:rPr>
          <w:b/>
          <w:bCs/>
        </w:rPr>
        <w:t>od 22.04</w:t>
      </w:r>
      <w:r w:rsidRPr="00575828">
        <w:t xml:space="preserve"> i dowód zakupu urządzenia </w:t>
      </w:r>
      <w:r w:rsidRPr="00676758">
        <w:rPr>
          <w:b/>
          <w:bCs/>
        </w:rPr>
        <w:t>od 14.06</w:t>
      </w:r>
      <w:r>
        <w:t xml:space="preserve"> </w:t>
      </w:r>
      <w:r w:rsidRPr="00575828">
        <w:t>– dotacja tylko na urządzenia z listy ZUM.</w:t>
      </w:r>
    </w:p>
    <w:bookmarkEnd w:id="3"/>
    <w:p w14:paraId="61EC43FB" w14:textId="77777777" w:rsidR="00676758" w:rsidRPr="00575828" w:rsidRDefault="00676758" w:rsidP="00676758">
      <w:pPr>
        <w:ind w:right="425"/>
        <w:jc w:val="both"/>
      </w:pPr>
      <w:r w:rsidRPr="00575828">
        <w:lastRenderedPageBreak/>
        <w:t>Zamknięcie listy zielonych urządzeń i materiałów dotyczy również producentów i dystrybutorów pomp ciepła. Wszystkie pompy ciepła, znajdujące się obecnie na liście ZUM, wymagają uzupełnienia dokumentacji o raport z badań z niezależnych akredytowanych laboratoriów z terenu EU lub EFTA. Uszczelnienie listy ZUM – jak już wspomniano – obejmuje również kotły zgazowujące drewno i te na pellet drzewny, ale w tym przypadku nie są wymagane dodatkowe dokumenty. O szczegółach technicznych nowych wymogów, pisaliśmy wielokrotnie na stronie programu: czystepowietrze.gov.pl.</w:t>
      </w:r>
    </w:p>
    <w:p w14:paraId="3FF8EA0C" w14:textId="77777777" w:rsidR="00676758" w:rsidRPr="00F72CFB" w:rsidRDefault="00676758" w:rsidP="00676758">
      <w:pPr>
        <w:ind w:right="425"/>
        <w:jc w:val="both"/>
        <w:rPr>
          <w:b/>
          <w:bCs/>
        </w:rPr>
      </w:pPr>
      <w:r w:rsidRPr="00F72CFB">
        <w:rPr>
          <w:b/>
          <w:bCs/>
        </w:rPr>
        <w:t xml:space="preserve">Najwyższe dofinansowanie </w:t>
      </w:r>
    </w:p>
    <w:p w14:paraId="67B7FE89" w14:textId="77777777" w:rsidR="00676758" w:rsidRDefault="00676758" w:rsidP="00676758">
      <w:pPr>
        <w:ind w:right="425"/>
        <w:jc w:val="both"/>
      </w:pPr>
      <w:r>
        <w:t xml:space="preserve">Kolejną istotną zmianą w „Czystym Powietrzu” jest kwestia zasad wnioskowania w ramach części 3) programu. Beneficjent, który skorzysta z najwyższego poziomu dofinansowania na dany budynek – na podstawie wniosku złożonego od 22.04.2024 r. – będzie mógł starać się o dofinansowanie na kolejne budynki tylko w ramach części 1) programu (podstawowy poziom dofinansowania). Tutaj też – podobnie jak przy liście ZUM – obowiązuje okres przejściowy do 13.06.2024 r. włącznie. </w:t>
      </w:r>
    </w:p>
    <w:p w14:paraId="31C957DD" w14:textId="60924D9A" w:rsidR="00676758" w:rsidRPr="00FE6C69" w:rsidRDefault="00676758" w:rsidP="00676758">
      <w:pPr>
        <w:ind w:right="425"/>
        <w:jc w:val="both"/>
      </w:pPr>
      <w:r w:rsidRPr="00FE6C69">
        <w:t>Nowe reguły dotyczące najwyższego dofinansowania należy rozumieć tak, że:</w:t>
      </w:r>
    </w:p>
    <w:p w14:paraId="143C8890" w14:textId="77777777" w:rsidR="00676758" w:rsidRPr="00FE6C69" w:rsidRDefault="00676758" w:rsidP="00676758">
      <w:pPr>
        <w:pStyle w:val="Akapitzlist"/>
        <w:numPr>
          <w:ilvl w:val="0"/>
          <w:numId w:val="4"/>
        </w:numPr>
        <w:spacing w:after="160" w:line="256" w:lineRule="auto"/>
        <w:ind w:right="425"/>
        <w:rPr>
          <w:rFonts w:cstheme="minorHAnsi"/>
        </w:rPr>
      </w:pPr>
      <w:r w:rsidRPr="00FE6C69">
        <w:rPr>
          <w:rFonts w:eastAsia="Times New Roman" w:cstheme="minorHAnsi"/>
        </w:rPr>
        <w:t xml:space="preserve">Wniosek o dotację złożony </w:t>
      </w:r>
      <w:r w:rsidRPr="00FE6C69">
        <w:rPr>
          <w:rFonts w:eastAsia="Times New Roman" w:cstheme="minorHAnsi"/>
          <w:b/>
          <w:bCs/>
        </w:rPr>
        <w:t xml:space="preserve">do 21.04 </w:t>
      </w:r>
      <w:r w:rsidRPr="00FE6C69">
        <w:rPr>
          <w:rFonts w:eastAsia="Times New Roman" w:cstheme="minorHAnsi"/>
        </w:rPr>
        <w:t>– zmiany Cię nie dotyczą</w:t>
      </w:r>
      <w:r w:rsidRPr="00FE6C69">
        <w:rPr>
          <w:rFonts w:cstheme="minorHAnsi"/>
        </w:rPr>
        <w:t>;</w:t>
      </w:r>
    </w:p>
    <w:p w14:paraId="714FB687" w14:textId="77777777" w:rsidR="00676758" w:rsidRPr="00FE6C69" w:rsidRDefault="00676758" w:rsidP="00676758">
      <w:pPr>
        <w:pStyle w:val="Akapitzlist"/>
        <w:numPr>
          <w:ilvl w:val="0"/>
          <w:numId w:val="4"/>
        </w:numPr>
        <w:spacing w:after="160" w:line="256" w:lineRule="auto"/>
        <w:ind w:right="425"/>
        <w:rPr>
          <w:rFonts w:cstheme="minorHAnsi"/>
        </w:rPr>
      </w:pPr>
      <w:r w:rsidRPr="00FE6C69">
        <w:rPr>
          <w:rFonts w:eastAsia="Times New Roman" w:cstheme="minorHAnsi"/>
          <w:lang w:eastAsia="pl-PL"/>
        </w:rPr>
        <w:t xml:space="preserve">Wniosek o dotację złożony </w:t>
      </w:r>
      <w:r w:rsidRPr="00FE6C69">
        <w:rPr>
          <w:rFonts w:eastAsia="Times New Roman" w:cstheme="minorHAnsi"/>
          <w:b/>
          <w:bCs/>
          <w:lang w:eastAsia="pl-PL"/>
        </w:rPr>
        <w:t>od 22.04 do 13.06</w:t>
      </w:r>
      <w:r w:rsidRPr="00FE6C69">
        <w:rPr>
          <w:rFonts w:eastAsia="Times New Roman" w:cstheme="minorHAnsi"/>
          <w:lang w:eastAsia="pl-PL"/>
        </w:rPr>
        <w:t xml:space="preserve"> – okres przejściowy, </w:t>
      </w:r>
      <w:r w:rsidRPr="00FE6C69">
        <w:rPr>
          <w:rFonts w:eastAsia="Times New Roman" w:cstheme="minorHAnsi"/>
          <w:u w:val="single"/>
          <w:lang w:eastAsia="pl-PL"/>
        </w:rPr>
        <w:t>uwzględniający poniższy warunek;</w:t>
      </w:r>
    </w:p>
    <w:p w14:paraId="1A1A5E6B" w14:textId="77777777" w:rsidR="00676758" w:rsidRPr="00FE6C69" w:rsidRDefault="00676758" w:rsidP="00676758">
      <w:pPr>
        <w:pStyle w:val="Akapitzlist"/>
        <w:numPr>
          <w:ilvl w:val="0"/>
          <w:numId w:val="4"/>
        </w:numPr>
        <w:spacing w:after="160" w:line="256" w:lineRule="auto"/>
        <w:ind w:right="425"/>
        <w:jc w:val="both"/>
      </w:pPr>
      <w:r w:rsidRPr="00FE6C69">
        <w:rPr>
          <w:rFonts w:eastAsia="Times New Roman" w:cstheme="minorHAnsi"/>
        </w:rPr>
        <w:t xml:space="preserve">Wniosek o dotację złożony </w:t>
      </w:r>
      <w:r w:rsidRPr="00FE6C69">
        <w:rPr>
          <w:rFonts w:eastAsia="Times New Roman" w:cstheme="minorHAnsi"/>
          <w:b/>
          <w:bCs/>
        </w:rPr>
        <w:t>od 14.06 lub później</w:t>
      </w:r>
      <w:r w:rsidRPr="00FE6C69">
        <w:rPr>
          <w:rFonts w:eastAsia="Times New Roman" w:cstheme="minorHAnsi"/>
        </w:rPr>
        <w:t xml:space="preserve"> – zmiany Cię dotyczą, </w:t>
      </w:r>
      <w:r w:rsidRPr="00FE6C69">
        <w:rPr>
          <w:rFonts w:eastAsia="Times New Roman" w:cstheme="minorHAnsi"/>
          <w:b/>
          <w:bCs/>
        </w:rPr>
        <w:t>jedna szansa</w:t>
      </w:r>
      <w:r w:rsidRPr="00FE6C69">
        <w:rPr>
          <w:rFonts w:eastAsia="Times New Roman" w:cstheme="minorHAnsi"/>
        </w:rPr>
        <w:t xml:space="preserve"> </w:t>
      </w:r>
      <w:r w:rsidRPr="00FE6C69">
        <w:rPr>
          <w:rFonts w:eastAsia="Times New Roman" w:cstheme="minorHAnsi"/>
          <w:b/>
          <w:bCs/>
        </w:rPr>
        <w:t>na dotację w ramach najwyższego poziomu dofinansowania</w:t>
      </w:r>
      <w:r w:rsidRPr="00FE6C69">
        <w:rPr>
          <w:rFonts w:eastAsia="Times New Roman" w:cstheme="minorHAnsi"/>
        </w:rPr>
        <w:t xml:space="preserve"> (część 3) programu) </w:t>
      </w:r>
      <w:r w:rsidRPr="00FE6C69">
        <w:rPr>
          <w:rFonts w:eastAsia="Times New Roman" w:cstheme="minorHAnsi"/>
          <w:u w:val="single"/>
        </w:rPr>
        <w:t>o ile już wcześniej (od 22.04) nie udzielono Ci dotacji z części 3) programu na inny budynek/lokal mieszkalny.</w:t>
      </w:r>
    </w:p>
    <w:p w14:paraId="00A4EEA4" w14:textId="77777777" w:rsidR="00676758" w:rsidRPr="00F72CFB" w:rsidRDefault="00676758" w:rsidP="00676758">
      <w:pPr>
        <w:ind w:right="425"/>
        <w:jc w:val="both"/>
        <w:rPr>
          <w:b/>
          <w:bCs/>
        </w:rPr>
      </w:pPr>
      <w:r>
        <w:rPr>
          <w:b/>
          <w:bCs/>
        </w:rPr>
        <w:t>Prefinansowanie i pełnomocnictwo uszczegółowione</w:t>
      </w:r>
    </w:p>
    <w:p w14:paraId="5263ACCB" w14:textId="77777777" w:rsidR="00676758" w:rsidRPr="00575828" w:rsidRDefault="00676758" w:rsidP="00676758">
      <w:pPr>
        <w:ind w:right="425"/>
        <w:jc w:val="both"/>
        <w:rPr>
          <w:rFonts w:eastAsia="Times New Roman"/>
        </w:rPr>
      </w:pPr>
      <w:r w:rsidRPr="00575828">
        <w:t xml:space="preserve">W </w:t>
      </w:r>
      <w:r w:rsidRPr="00575828">
        <w:rPr>
          <w:rFonts w:eastAsia="Times New Roman"/>
        </w:rPr>
        <w:t>umowie dotacji z prefinansowaniem doprecyzowano, że warunkiem wypłaty zaliczki na konto wykonawcy jest złożenie do wojewódzkiego funduszu ochrony środowiska i gospodarki wodnej (wfośigw) podpisanej własnoręcznie przez beneficjenta dyspozycji wypłaty zaliczki wraz z kopią faktury zaliczkowej (wystawionej na beneficjenta lub beneficjenta i małżonka wspólnie). A ponadto określono czas na złożenie wniosku o płatność – rozliczającego zakres przedsięwzięcia wynikający z danej umowy z wykonawcą – do 120 dni od daty wypłaty zaliczki dotyczącej realizacji tej umowy z wykonawcą.</w:t>
      </w:r>
    </w:p>
    <w:p w14:paraId="54E8CFD2" w14:textId="34C34508" w:rsidR="00676758" w:rsidRPr="00575828" w:rsidRDefault="00676758" w:rsidP="00676758">
      <w:pPr>
        <w:ind w:right="425"/>
        <w:jc w:val="both"/>
        <w:rPr>
          <w:rFonts w:eastAsia="Times New Roman"/>
        </w:rPr>
      </w:pPr>
      <w:r w:rsidRPr="00575828">
        <w:rPr>
          <w:rFonts w:eastAsia="Times New Roman"/>
        </w:rPr>
        <w:t>W przypadku składania wniosku o dotację</w:t>
      </w:r>
      <w:r>
        <w:rPr>
          <w:rFonts w:eastAsia="Times New Roman"/>
        </w:rPr>
        <w:t xml:space="preserve"> z</w:t>
      </w:r>
      <w:r w:rsidRPr="00575828">
        <w:rPr>
          <w:rFonts w:eastAsia="Times New Roman"/>
        </w:rPr>
        <w:t xml:space="preserve"> „Czystego Powietrza” przez pełnomocnika, teraz wymagane jest pełnomocnictwo z podpisem własnoręcznym wnioskodawcy notarialnie poświadczonym (czyli z podpisem własnoręcznym złożonym przez wnioskodawcę na pełnomocnictwie w obecności notariusza, bądź wcześniej złożonym podpisem uznanym przez wnioskodawcę przed notariuszem za własnoręczny).</w:t>
      </w:r>
    </w:p>
    <w:p w14:paraId="1DBA71D6" w14:textId="77777777" w:rsidR="00676758" w:rsidRDefault="00676758" w:rsidP="00676758">
      <w:pPr>
        <w:ind w:right="425"/>
        <w:jc w:val="both"/>
        <w:rPr>
          <w:rFonts w:eastAsia="Times New Roman"/>
          <w:b/>
          <w:bCs/>
        </w:rPr>
      </w:pPr>
    </w:p>
    <w:p w14:paraId="02799C0F" w14:textId="228D31C1" w:rsidR="00676758" w:rsidRPr="00DC2E9F" w:rsidRDefault="00676758" w:rsidP="00676758">
      <w:pPr>
        <w:ind w:right="425"/>
        <w:jc w:val="both"/>
        <w:rPr>
          <w:rFonts w:eastAsia="Times New Roman"/>
          <w:b/>
          <w:bCs/>
        </w:rPr>
      </w:pPr>
      <w:r w:rsidRPr="00DC2E9F">
        <w:rPr>
          <w:rFonts w:eastAsia="Times New Roman"/>
          <w:b/>
          <w:bCs/>
        </w:rPr>
        <w:lastRenderedPageBreak/>
        <w:t>Nowe źródła finansowania programu „Czyste Powietrze”</w:t>
      </w:r>
    </w:p>
    <w:p w14:paraId="0E64AD17" w14:textId="0AFA40BF" w:rsidR="00676758" w:rsidRDefault="00676758" w:rsidP="00676758">
      <w:pPr>
        <w:ind w:right="425"/>
        <w:jc w:val="both"/>
      </w:pPr>
      <w:r>
        <w:rPr>
          <w:rFonts w:eastAsia="Times New Roman"/>
        </w:rPr>
        <w:t xml:space="preserve">NFOŚiGW sfinalizował właśnie (16.04.2024 r.) </w:t>
      </w:r>
      <w:r w:rsidRPr="00480C49">
        <w:rPr>
          <w:rFonts w:eastAsia="Times New Roman"/>
        </w:rPr>
        <w:t xml:space="preserve">w ramach „Czystego Powietrza” </w:t>
      </w:r>
      <w:r>
        <w:rPr>
          <w:rFonts w:eastAsia="Times New Roman"/>
        </w:rPr>
        <w:t xml:space="preserve">podpisanie szesnastu umów (ze wszystkimi wfośigw) dotyczących projektów grantowych z unijnego programu FEnIKS. </w:t>
      </w:r>
      <w:r>
        <w:t>Teraz, po złożeniu przez wojewódzkie fundusze pierwszych wniosków o płatności zaliczek, nastąpi uruchomienie tego nowego finansowania.</w:t>
      </w:r>
      <w:r w:rsidRPr="000816A9">
        <w:t xml:space="preserve"> </w:t>
      </w:r>
    </w:p>
    <w:p w14:paraId="47510354" w14:textId="77777777" w:rsidR="00676758" w:rsidRPr="00575828" w:rsidRDefault="00676758" w:rsidP="00676758">
      <w:pPr>
        <w:ind w:right="425"/>
        <w:jc w:val="both"/>
      </w:pPr>
      <w:r>
        <w:t xml:space="preserve">Wdrożenie środków FEnIKS (6,4 mld zł na lata 2024-29), to szansa dla ponad 145 tys. gospodarstw domowych na dotacje do wymiany ponad </w:t>
      </w:r>
      <w:r w:rsidRPr="00480C49">
        <w:rPr>
          <w:rStyle w:val="css-1qaijid"/>
        </w:rPr>
        <w:t>111 tys. źródeł ciepła i modernizację ok. 100 tys. budynków.</w:t>
      </w:r>
    </w:p>
    <w:p w14:paraId="09F9924C" w14:textId="77777777" w:rsidR="00676758" w:rsidRPr="004E6F67" w:rsidRDefault="00676758" w:rsidP="00676758">
      <w:pPr>
        <w:ind w:right="425"/>
        <w:jc w:val="both"/>
        <w:rPr>
          <w:b/>
          <w:bCs/>
        </w:rPr>
      </w:pPr>
      <w:r w:rsidRPr="004E6F67">
        <w:rPr>
          <w:b/>
          <w:bCs/>
        </w:rPr>
        <w:t>Pieniądze dla każdego</w:t>
      </w:r>
    </w:p>
    <w:p w14:paraId="466E2CD9" w14:textId="77777777" w:rsidR="00676758" w:rsidRDefault="00676758" w:rsidP="00676758">
      <w:pPr>
        <w:ind w:right="425"/>
        <w:jc w:val="both"/>
      </w:pPr>
      <w:r w:rsidRPr="004E6F67">
        <w:t>Program „Czyste Powietrze” – z budżetem 103 mld zł – to największa proekologiczna inicjatywa w polskiej historii</w:t>
      </w:r>
      <w:r>
        <w:t>,</w:t>
      </w:r>
      <w:r w:rsidRPr="004E6F67">
        <w:t xml:space="preserve"> służąca skutecznej walce ze smogiem oraz poprawie efektywności energetycznej jednorodzinnych budynków mieszkalnych. „Czyste Powietrze” to szansa dla Polaków obecnie nawet na 135 tys. zł bezzwrotnej dotacji na termomodernizację i nowe źródło ciepła.</w:t>
      </w:r>
      <w:r>
        <w:t xml:space="preserve"> Dotychczas (stan na 12.04.2024 r.) złożono p</w:t>
      </w:r>
      <w:r w:rsidRPr="004E6F67">
        <w:t>onad 832 tys. wniosków na 26 mld zł dofinansowania</w:t>
      </w:r>
      <w:r>
        <w:t>.</w:t>
      </w:r>
    </w:p>
    <w:p w14:paraId="572551B5" w14:textId="312097BA" w:rsidR="00DE2015" w:rsidRPr="00111A19" w:rsidRDefault="00781266" w:rsidP="00676758">
      <w:pPr>
        <w:ind w:right="425"/>
        <w:jc w:val="both"/>
      </w:pPr>
      <w:hyperlink r:id="rId8" w:history="1">
        <w:r w:rsidR="00676758" w:rsidRPr="00B734D2">
          <w:rPr>
            <w:rStyle w:val="Hipercze"/>
          </w:rPr>
          <w:t>czystepowietrze.gov.pl</w:t>
        </w:r>
      </w:hyperlink>
      <w:r w:rsidR="00676758">
        <w:t xml:space="preserve"> </w:t>
      </w:r>
    </w:p>
    <w:sectPr w:rsidR="00DE2015" w:rsidRPr="00111A19" w:rsidSect="000B1372">
      <w:headerReference w:type="default" r:id="rId9"/>
      <w:footerReference w:type="default" r:id="rId10"/>
      <w:pgSz w:w="11906" w:h="16838"/>
      <w:pgMar w:top="1418" w:right="991" w:bottom="1276" w:left="1418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C4A0" w14:textId="77777777" w:rsidR="00781266" w:rsidRDefault="00781266" w:rsidP="004A3C67">
      <w:pPr>
        <w:spacing w:after="0" w:line="240" w:lineRule="auto"/>
      </w:pPr>
      <w:r>
        <w:separator/>
      </w:r>
    </w:p>
  </w:endnote>
  <w:endnote w:type="continuationSeparator" w:id="0">
    <w:p w14:paraId="66443AEE" w14:textId="77777777" w:rsidR="00781266" w:rsidRDefault="00781266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94B8" w14:textId="1F8881B6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64CA3061" w14:textId="52E4D458" w:rsidR="0066417B" w:rsidRDefault="00676758" w:rsidP="00806A1D">
    <w:pPr>
      <w:spacing w:after="40"/>
      <w:jc w:val="both"/>
      <w:rPr>
        <w:b/>
        <w:color w:val="00797A"/>
        <w:sz w:val="20"/>
        <w:szCs w:val="20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0F2E07D" wp14:editId="4D1F4937">
          <wp:simplePos x="0" y="0"/>
          <wp:positionH relativeFrom="column">
            <wp:posOffset>173990</wp:posOffset>
          </wp:positionH>
          <wp:positionV relativeFrom="paragraph">
            <wp:posOffset>3810</wp:posOffset>
          </wp:positionV>
          <wp:extent cx="1221740" cy="413385"/>
          <wp:effectExtent l="0" t="0" r="0" b="0"/>
          <wp:wrapTight wrapText="bothSides">
            <wp:wrapPolygon edited="0">
              <wp:start x="1010" y="995"/>
              <wp:lineTo x="0" y="5972"/>
              <wp:lineTo x="0" y="19908"/>
              <wp:lineTo x="21218" y="19908"/>
              <wp:lineTo x="21218" y="2986"/>
              <wp:lineTo x="4042" y="995"/>
              <wp:lineTo x="1010" y="995"/>
            </wp:wrapPolygon>
          </wp:wrapTight>
          <wp:docPr id="207875355" name="Obraz 20787535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4CC">
      <w:rPr>
        <w:b/>
        <w:noProof/>
        <w:color w:val="006937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6FF9079" wp14:editId="247E73A3">
          <wp:simplePos x="0" y="0"/>
          <wp:positionH relativeFrom="column">
            <wp:posOffset>4730750</wp:posOffset>
          </wp:positionH>
          <wp:positionV relativeFrom="paragraph">
            <wp:posOffset>20955</wp:posOffset>
          </wp:positionV>
          <wp:extent cx="1264920" cy="427990"/>
          <wp:effectExtent l="0" t="0" r="0" b="0"/>
          <wp:wrapTight wrapText="bothSides">
            <wp:wrapPolygon edited="0">
              <wp:start x="1952" y="961"/>
              <wp:lineTo x="651" y="4807"/>
              <wp:lineTo x="651" y="16344"/>
              <wp:lineTo x="2602" y="19228"/>
              <wp:lineTo x="20819" y="19228"/>
              <wp:lineTo x="21145" y="9614"/>
              <wp:lineTo x="14313" y="3846"/>
              <wp:lineTo x="4554" y="961"/>
              <wp:lineTo x="1952" y="961"/>
            </wp:wrapPolygon>
          </wp:wrapTight>
          <wp:docPr id="21082743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3B958" w14:textId="370B03FB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</w:p>
  <w:p w14:paraId="3B429D21" w14:textId="780FB52C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F029A" wp14:editId="146C50CC">
              <wp:simplePos x="0" y="0"/>
              <wp:positionH relativeFrom="column">
                <wp:posOffset>92467</wp:posOffset>
              </wp:positionH>
              <wp:positionV relativeFrom="paragraph">
                <wp:posOffset>116990</wp:posOffset>
              </wp:positionV>
              <wp:extent cx="821055" cy="46355"/>
              <wp:effectExtent l="0" t="0" r="4445" b="444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2A3D93" id="Prostokąt 2" o:spid="_x0000_s1026" style="position:absolute;margin-left:7.3pt;margin-top:9.2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" fillcolor="#00797a" stroked="f" strokeweight="2pt"/>
          </w:pict>
        </mc:Fallback>
      </mc:AlternateContent>
    </w:r>
  </w:p>
  <w:p w14:paraId="38C244C4" w14:textId="76DFBA7C" w:rsidR="00806A1D" w:rsidRPr="002F217D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2F217D">
      <w:rPr>
        <w:b/>
        <w:color w:val="00797A"/>
        <w:sz w:val="20"/>
        <w:szCs w:val="20"/>
      </w:rPr>
      <w:t xml:space="preserve">Narodowy Fundusz Ochrony Środowiska i Gospodarki Wodnej  </w:t>
    </w:r>
    <w:r w:rsidRPr="002F217D">
      <w:rPr>
        <w:b/>
        <w:color w:val="00797A"/>
        <w:sz w:val="20"/>
        <w:szCs w:val="20"/>
      </w:rPr>
      <w:tab/>
    </w:r>
    <w:hyperlink r:id="rId3" w:history="1">
      <w:r w:rsidRPr="002F217D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0FD4D897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u</w:t>
    </w:r>
    <w:r w:rsidR="00806A1D" w:rsidRPr="002F217D">
      <w:rPr>
        <w:color w:val="00797A"/>
        <w:sz w:val="20"/>
        <w:szCs w:val="20"/>
      </w:rPr>
      <w:t>l. Konstruktorska 3a, 02-673 Warszawa</w:t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  <w:t xml:space="preserve">e-mail: </w:t>
    </w:r>
    <w:hyperlink r:id="rId4" w:history="1">
      <w:r w:rsidR="00806A1D" w:rsidRPr="002F217D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7385D3F9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</w:t>
    </w:r>
    <w:r w:rsidR="00491FDF" w:rsidRPr="002F217D">
      <w:rPr>
        <w:color w:val="00797A"/>
        <w:sz w:val="20"/>
        <w:szCs w:val="20"/>
      </w:rPr>
      <w:t xml:space="preserve">el.: </w:t>
    </w:r>
    <w:r w:rsidRPr="002F217D">
      <w:rPr>
        <w:color w:val="00797A"/>
        <w:sz w:val="20"/>
        <w:szCs w:val="20"/>
      </w:rPr>
      <w:t xml:space="preserve">+48 </w:t>
    </w:r>
    <w:r w:rsidR="00491FDF" w:rsidRPr="002F217D">
      <w:rPr>
        <w:color w:val="00797A"/>
        <w:sz w:val="20"/>
        <w:szCs w:val="20"/>
      </w:rPr>
      <w:t>22 45 90</w:t>
    </w:r>
    <w:r w:rsidR="00BE0715" w:rsidRPr="002F217D">
      <w:rPr>
        <w:color w:val="00797A"/>
        <w:sz w:val="20"/>
        <w:szCs w:val="20"/>
      </w:rPr>
      <w:t> </w:t>
    </w:r>
    <w:r w:rsidR="006C0A61" w:rsidRPr="002F217D">
      <w:rPr>
        <w:color w:val="00797A"/>
        <w:sz w:val="20"/>
        <w:szCs w:val="20"/>
      </w:rPr>
      <w:t>800</w:t>
    </w:r>
    <w:r w:rsidR="00BE0715" w:rsidRPr="002F217D">
      <w:rPr>
        <w:color w:val="00797A"/>
        <w:sz w:val="20"/>
        <w:szCs w:val="20"/>
      </w:rPr>
      <w:tab/>
    </w:r>
    <w:r w:rsidR="00BE0715"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="00491FDF" w:rsidRPr="002F217D">
      <w:rPr>
        <w:color w:val="00797A"/>
        <w:sz w:val="20"/>
        <w:szCs w:val="20"/>
      </w:rPr>
      <w:t>NIP: 522-00-18-559</w:t>
    </w:r>
  </w:p>
  <w:p w14:paraId="7021DD5B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2B933" w14:textId="77777777" w:rsidR="00781266" w:rsidRDefault="00781266" w:rsidP="004A3C67">
      <w:pPr>
        <w:spacing w:after="0" w:line="240" w:lineRule="auto"/>
      </w:pPr>
      <w:r>
        <w:separator/>
      </w:r>
    </w:p>
  </w:footnote>
  <w:footnote w:type="continuationSeparator" w:id="0">
    <w:p w14:paraId="0C69310A" w14:textId="77777777" w:rsidR="00781266" w:rsidRDefault="00781266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ECAD" w14:textId="008DF9C8" w:rsidR="002F217D" w:rsidRPr="00676758" w:rsidRDefault="00AB44CC" w:rsidP="00676758">
    <w:pPr>
      <w:pStyle w:val="NormalnyWeb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34C43AEA" wp14:editId="11A656AF">
          <wp:extent cx="5379720" cy="967740"/>
          <wp:effectExtent l="0" t="0" r="0" b="3810"/>
          <wp:docPr id="1752386177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77731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1D5"/>
    <w:multiLevelType w:val="hybridMultilevel"/>
    <w:tmpl w:val="E716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0923"/>
    <w:multiLevelType w:val="hybridMultilevel"/>
    <w:tmpl w:val="0B5E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4D64"/>
    <w:multiLevelType w:val="multilevel"/>
    <w:tmpl w:val="81E0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305B5"/>
    <w:rsid w:val="000640B8"/>
    <w:rsid w:val="0006748B"/>
    <w:rsid w:val="00073208"/>
    <w:rsid w:val="000A0B04"/>
    <w:rsid w:val="000A2E3D"/>
    <w:rsid w:val="000B1372"/>
    <w:rsid w:val="000B7D0A"/>
    <w:rsid w:val="000C580A"/>
    <w:rsid w:val="000D64CD"/>
    <w:rsid w:val="000E5183"/>
    <w:rsid w:val="000F4F26"/>
    <w:rsid w:val="001069D4"/>
    <w:rsid w:val="00111A19"/>
    <w:rsid w:val="001245D3"/>
    <w:rsid w:val="00131F27"/>
    <w:rsid w:val="00160D23"/>
    <w:rsid w:val="00172213"/>
    <w:rsid w:val="00180F77"/>
    <w:rsid w:val="00196C57"/>
    <w:rsid w:val="001B6250"/>
    <w:rsid w:val="001E19FD"/>
    <w:rsid w:val="001F67E5"/>
    <w:rsid w:val="001F7C4C"/>
    <w:rsid w:val="00202181"/>
    <w:rsid w:val="00234392"/>
    <w:rsid w:val="002349C7"/>
    <w:rsid w:val="002472BE"/>
    <w:rsid w:val="0025670D"/>
    <w:rsid w:val="00266B1A"/>
    <w:rsid w:val="00266BC4"/>
    <w:rsid w:val="00270DF8"/>
    <w:rsid w:val="00272D04"/>
    <w:rsid w:val="0028734B"/>
    <w:rsid w:val="002978CD"/>
    <w:rsid w:val="002C7385"/>
    <w:rsid w:val="002E3F17"/>
    <w:rsid w:val="002E3FBF"/>
    <w:rsid w:val="002F217D"/>
    <w:rsid w:val="003103A1"/>
    <w:rsid w:val="003208CB"/>
    <w:rsid w:val="0036117B"/>
    <w:rsid w:val="00381528"/>
    <w:rsid w:val="003B559D"/>
    <w:rsid w:val="003B69CD"/>
    <w:rsid w:val="003D616C"/>
    <w:rsid w:val="003D7EC6"/>
    <w:rsid w:val="003E06ED"/>
    <w:rsid w:val="003E6E2A"/>
    <w:rsid w:val="0041370A"/>
    <w:rsid w:val="0041457C"/>
    <w:rsid w:val="00427A1C"/>
    <w:rsid w:val="00430570"/>
    <w:rsid w:val="004305F9"/>
    <w:rsid w:val="004325DF"/>
    <w:rsid w:val="00433171"/>
    <w:rsid w:val="004345EA"/>
    <w:rsid w:val="00442832"/>
    <w:rsid w:val="0045125A"/>
    <w:rsid w:val="00451C78"/>
    <w:rsid w:val="00460A7B"/>
    <w:rsid w:val="00466EEF"/>
    <w:rsid w:val="00466F20"/>
    <w:rsid w:val="00486645"/>
    <w:rsid w:val="004919D1"/>
    <w:rsid w:val="00491FDF"/>
    <w:rsid w:val="004A0CAC"/>
    <w:rsid w:val="004A3C67"/>
    <w:rsid w:val="004A7A84"/>
    <w:rsid w:val="004B1EFC"/>
    <w:rsid w:val="004B2B7C"/>
    <w:rsid w:val="004B6B8F"/>
    <w:rsid w:val="004D109C"/>
    <w:rsid w:val="004E37ED"/>
    <w:rsid w:val="0050141E"/>
    <w:rsid w:val="005035AF"/>
    <w:rsid w:val="00503E3A"/>
    <w:rsid w:val="00510021"/>
    <w:rsid w:val="00520312"/>
    <w:rsid w:val="0054001B"/>
    <w:rsid w:val="0054238F"/>
    <w:rsid w:val="00542E9D"/>
    <w:rsid w:val="00544771"/>
    <w:rsid w:val="005537F9"/>
    <w:rsid w:val="005635FF"/>
    <w:rsid w:val="00573EDE"/>
    <w:rsid w:val="00586F7E"/>
    <w:rsid w:val="00592ADA"/>
    <w:rsid w:val="005A2ECA"/>
    <w:rsid w:val="005A5FED"/>
    <w:rsid w:val="005B580D"/>
    <w:rsid w:val="005C51C9"/>
    <w:rsid w:val="005E11DD"/>
    <w:rsid w:val="005E2763"/>
    <w:rsid w:val="005F1A9D"/>
    <w:rsid w:val="00606E54"/>
    <w:rsid w:val="0063417C"/>
    <w:rsid w:val="00647094"/>
    <w:rsid w:val="00651D7F"/>
    <w:rsid w:val="0065629B"/>
    <w:rsid w:val="00661854"/>
    <w:rsid w:val="0066417B"/>
    <w:rsid w:val="006725C2"/>
    <w:rsid w:val="00676758"/>
    <w:rsid w:val="006B0A57"/>
    <w:rsid w:val="006C0A61"/>
    <w:rsid w:val="006C1564"/>
    <w:rsid w:val="006D0F73"/>
    <w:rsid w:val="006E7A51"/>
    <w:rsid w:val="006F3A76"/>
    <w:rsid w:val="006F644C"/>
    <w:rsid w:val="00700B97"/>
    <w:rsid w:val="0070314F"/>
    <w:rsid w:val="00704960"/>
    <w:rsid w:val="00707A79"/>
    <w:rsid w:val="007156FB"/>
    <w:rsid w:val="007230E9"/>
    <w:rsid w:val="007260B3"/>
    <w:rsid w:val="00730485"/>
    <w:rsid w:val="00734306"/>
    <w:rsid w:val="00737146"/>
    <w:rsid w:val="007510E6"/>
    <w:rsid w:val="0077281C"/>
    <w:rsid w:val="0077617B"/>
    <w:rsid w:val="00781266"/>
    <w:rsid w:val="00785BCA"/>
    <w:rsid w:val="007905D3"/>
    <w:rsid w:val="007935BA"/>
    <w:rsid w:val="00796249"/>
    <w:rsid w:val="007A7454"/>
    <w:rsid w:val="007C27DB"/>
    <w:rsid w:val="007C41F8"/>
    <w:rsid w:val="007C7898"/>
    <w:rsid w:val="007D3C30"/>
    <w:rsid w:val="007D66C6"/>
    <w:rsid w:val="007E1ED7"/>
    <w:rsid w:val="007F282B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90B2F"/>
    <w:rsid w:val="008C6474"/>
    <w:rsid w:val="008D1456"/>
    <w:rsid w:val="008E49AF"/>
    <w:rsid w:val="008F1259"/>
    <w:rsid w:val="008F60FC"/>
    <w:rsid w:val="00911C23"/>
    <w:rsid w:val="00913206"/>
    <w:rsid w:val="0091322B"/>
    <w:rsid w:val="00922B02"/>
    <w:rsid w:val="00935E04"/>
    <w:rsid w:val="009411A8"/>
    <w:rsid w:val="009419A5"/>
    <w:rsid w:val="00944B5B"/>
    <w:rsid w:val="00971CEF"/>
    <w:rsid w:val="009878AF"/>
    <w:rsid w:val="009973D0"/>
    <w:rsid w:val="009A232F"/>
    <w:rsid w:val="009C7B94"/>
    <w:rsid w:val="009E20E3"/>
    <w:rsid w:val="009F25A4"/>
    <w:rsid w:val="009F6F36"/>
    <w:rsid w:val="00A14EDE"/>
    <w:rsid w:val="00A21569"/>
    <w:rsid w:val="00A239B9"/>
    <w:rsid w:val="00A606FA"/>
    <w:rsid w:val="00A7325D"/>
    <w:rsid w:val="00A800BC"/>
    <w:rsid w:val="00A94E94"/>
    <w:rsid w:val="00AA7EE0"/>
    <w:rsid w:val="00AB44CC"/>
    <w:rsid w:val="00AC3630"/>
    <w:rsid w:val="00AC6454"/>
    <w:rsid w:val="00AD04F7"/>
    <w:rsid w:val="00AD17CD"/>
    <w:rsid w:val="00AD56D2"/>
    <w:rsid w:val="00AE1652"/>
    <w:rsid w:val="00AF4C0B"/>
    <w:rsid w:val="00B01475"/>
    <w:rsid w:val="00B02A72"/>
    <w:rsid w:val="00B101BB"/>
    <w:rsid w:val="00B1095C"/>
    <w:rsid w:val="00B20911"/>
    <w:rsid w:val="00B217D8"/>
    <w:rsid w:val="00B26EDE"/>
    <w:rsid w:val="00B300A9"/>
    <w:rsid w:val="00B43CE8"/>
    <w:rsid w:val="00B47D5E"/>
    <w:rsid w:val="00B52F19"/>
    <w:rsid w:val="00B56A8C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3CF3"/>
    <w:rsid w:val="00C164AC"/>
    <w:rsid w:val="00C17EFD"/>
    <w:rsid w:val="00C27889"/>
    <w:rsid w:val="00C3709F"/>
    <w:rsid w:val="00C45B97"/>
    <w:rsid w:val="00C51E1D"/>
    <w:rsid w:val="00C56C32"/>
    <w:rsid w:val="00C71EB8"/>
    <w:rsid w:val="00C75578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61FA3"/>
    <w:rsid w:val="00D71D3A"/>
    <w:rsid w:val="00D72C35"/>
    <w:rsid w:val="00D775C6"/>
    <w:rsid w:val="00D81B3C"/>
    <w:rsid w:val="00D96F1C"/>
    <w:rsid w:val="00DA22D6"/>
    <w:rsid w:val="00DA7DF3"/>
    <w:rsid w:val="00DD6645"/>
    <w:rsid w:val="00DE2015"/>
    <w:rsid w:val="00DF46A3"/>
    <w:rsid w:val="00E0328C"/>
    <w:rsid w:val="00E26412"/>
    <w:rsid w:val="00E267F5"/>
    <w:rsid w:val="00E424F4"/>
    <w:rsid w:val="00E43290"/>
    <w:rsid w:val="00E433DD"/>
    <w:rsid w:val="00E72B92"/>
    <w:rsid w:val="00E741D3"/>
    <w:rsid w:val="00E77487"/>
    <w:rsid w:val="00E80E2E"/>
    <w:rsid w:val="00EA3EE0"/>
    <w:rsid w:val="00EC2AA0"/>
    <w:rsid w:val="00ED4D36"/>
    <w:rsid w:val="00ED5D7B"/>
    <w:rsid w:val="00EF1652"/>
    <w:rsid w:val="00EF7450"/>
    <w:rsid w:val="00F041F6"/>
    <w:rsid w:val="00F07D5A"/>
    <w:rsid w:val="00F107D4"/>
    <w:rsid w:val="00F64ACF"/>
    <w:rsid w:val="00F72B4E"/>
    <w:rsid w:val="00F74BE4"/>
    <w:rsid w:val="00F82129"/>
    <w:rsid w:val="00F85FCC"/>
    <w:rsid w:val="00F959EA"/>
    <w:rsid w:val="00FA36C5"/>
    <w:rsid w:val="00FB6839"/>
    <w:rsid w:val="00FC7891"/>
    <w:rsid w:val="00FE34F1"/>
    <w:rsid w:val="00FE6795"/>
    <w:rsid w:val="00FE6B27"/>
    <w:rsid w:val="00FF0232"/>
    <w:rsid w:val="00FF176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E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8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D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0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616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D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6E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B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76758"/>
  </w:style>
  <w:style w:type="character" w:customStyle="1" w:styleId="css-1qaijid">
    <w:name w:val="css-1qaijid"/>
    <w:basedOn w:val="Domylnaczcionkaakapitu"/>
    <w:rsid w:val="0067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17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epowietrz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fosig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fundusz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E0D7-6541-48F0-B330-7E82A6FF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2024-04-23T12:34:00Z</dcterms:created>
  <dcterms:modified xsi:type="dcterms:W3CDTF">2024-04-23T12:34:00Z</dcterms:modified>
</cp:coreProperties>
</file>